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hint="eastAsia" w:ascii="宋体" w:hAnsi="宋体" w:eastAsia="宋体" w:cs="宋体"/>
          <w:b/>
          <w:highlight w:val="none"/>
        </w:rPr>
      </w:pPr>
      <w:r>
        <w:rPr>
          <w:rFonts w:hint="eastAsia" w:ascii="宋体" w:hAnsi="宋体" w:eastAsia="宋体" w:cs="宋体"/>
          <w:b/>
          <w:highlight w:val="none"/>
        </w:rPr>
        <w:t>采购项目技术、服务及其他商务要求</w:t>
      </w:r>
    </w:p>
    <w:p>
      <w:pPr>
        <w:pStyle w:val="2"/>
        <w:rPr>
          <w:rFonts w:hint="eastAsia" w:ascii="宋体" w:hAnsi="宋体" w:eastAsia="宋体" w:cs="宋体"/>
          <w:b/>
          <w:highlight w:val="none"/>
        </w:rPr>
      </w:pPr>
    </w:p>
    <w:p>
      <w:pPr>
        <w:rPr>
          <w:rFonts w:hint="eastAsia" w:ascii="宋体" w:hAnsi="宋体" w:eastAsia="宋体" w:cs="宋体"/>
          <w:b/>
          <w:highlight w:val="none"/>
        </w:rPr>
      </w:pPr>
    </w:p>
    <w:p>
      <w:pPr>
        <w:pStyle w:val="2"/>
        <w:numPr>
          <w:ilvl w:val="0"/>
          <w:numId w:val="1"/>
        </w:numPr>
        <w:spacing w:line="360" w:lineRule="auto"/>
        <w:outlineLvl w:val="1"/>
        <w:rPr>
          <w:rFonts w:hint="eastAsia" w:ascii="宋体" w:hAnsi="宋体" w:eastAsia="宋体" w:cs="宋体"/>
          <w:b/>
          <w:sz w:val="32"/>
          <w:lang w:eastAsia="zh-CN"/>
        </w:rPr>
      </w:pPr>
      <w:r>
        <w:rPr>
          <w:rFonts w:hint="eastAsia" w:ascii="宋体" w:hAnsi="宋体" w:eastAsia="宋体" w:cs="宋体"/>
          <w:b/>
          <w:sz w:val="32"/>
          <w:lang w:eastAsia="zh-CN"/>
        </w:rPr>
        <w:t>项目概述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lang w:eastAsia="zh-CN"/>
        </w:rPr>
      </w:pPr>
      <w:r>
        <w:rPr>
          <w:rFonts w:hint="eastAsia"/>
          <w:sz w:val="24"/>
          <w:szCs w:val="24"/>
          <w:lang w:eastAsia="zh-CN"/>
        </w:rPr>
        <w:t>为满足我院日常医疗工作需要，特开展本次医用耗材配送服务采购。</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lang w:val="en-US" w:eastAsia="zh-CN"/>
        </w:rPr>
      </w:pPr>
      <w:r>
        <w:rPr>
          <w:rFonts w:hint="eastAsia"/>
          <w:sz w:val="24"/>
          <w:szCs w:val="24"/>
          <w:lang w:val="en-US" w:eastAsia="zh-CN"/>
        </w:rPr>
        <w:t>本次仅对采购包5采购一家供应商提供配送服务。</w:t>
      </w:r>
    </w:p>
    <w:p>
      <w:pPr>
        <w:pStyle w:val="3"/>
        <w:numPr>
          <w:ilvl w:val="0"/>
          <w:numId w:val="1"/>
        </w:numPr>
        <w:spacing w:line="360" w:lineRule="auto"/>
        <w:ind w:left="0" w:leftChars="0" w:firstLine="0" w:firstLineChars="0"/>
        <w:jc w:val="both"/>
        <w:outlineLvl w:val="1"/>
        <w:rPr>
          <w:rFonts w:hint="eastAsia" w:ascii="宋体" w:hAnsi="宋体" w:eastAsia="宋体" w:cs="宋体"/>
          <w:b/>
          <w:bCs/>
          <w:sz w:val="32"/>
        </w:rPr>
      </w:pPr>
      <w:r>
        <w:rPr>
          <w:rFonts w:hint="eastAsia" w:ascii="宋体" w:hAnsi="宋体" w:eastAsia="宋体" w:cs="宋体"/>
          <w:b/>
          <w:bCs/>
          <w:sz w:val="32"/>
          <w:lang w:eastAsia="zh-CN"/>
        </w:rPr>
        <w:t>服务内容及要求</w:t>
      </w:r>
      <w:r>
        <w:rPr>
          <w:rFonts w:hint="eastAsia" w:ascii="宋体" w:hAnsi="宋体" w:eastAsia="宋体" w:cs="宋体"/>
          <w:b/>
          <w:sz w:val="32"/>
          <w:lang w:eastAsia="zh-CN"/>
        </w:rPr>
        <w:t>（实质性要求）</w:t>
      </w:r>
    </w:p>
    <w:p>
      <w:pPr>
        <w:rPr>
          <w:rFonts w:hint="eastAsia"/>
          <w:sz w:val="28"/>
          <w:szCs w:val="28"/>
        </w:rPr>
      </w:pPr>
      <w:r>
        <w:rPr>
          <w:rFonts w:hint="eastAsia" w:ascii="宋体" w:hAnsi="宋体" w:eastAsia="宋体" w:cs="宋体"/>
          <w:b/>
          <w:sz w:val="28"/>
          <w:szCs w:val="28"/>
          <w:lang w:val="en-US" w:eastAsia="zh-CN"/>
        </w:rPr>
        <w:t>1、</w:t>
      </w:r>
      <w:r>
        <w:rPr>
          <w:rFonts w:hint="eastAsia" w:ascii="宋体" w:hAnsi="宋体" w:eastAsia="宋体" w:cs="宋体"/>
          <w:b/>
          <w:sz w:val="28"/>
          <w:szCs w:val="28"/>
          <w:lang w:eastAsia="zh-CN"/>
        </w:rPr>
        <w:t>配送清单</w:t>
      </w:r>
    </w:p>
    <w:p>
      <w:pPr>
        <w:rPr>
          <w:rFonts w:hint="default" w:ascii="宋体" w:hAnsi="宋体" w:eastAsia="宋体" w:cs="Times New Roman"/>
          <w:sz w:val="24"/>
          <w:szCs w:val="24"/>
          <w:lang w:val="en-US" w:eastAsia="zh-CN"/>
        </w:rPr>
      </w:pPr>
      <w:r>
        <w:rPr>
          <w:rFonts w:hint="eastAsia" w:ascii="宋体" w:hAnsi="宋体" w:eastAsia="宋体" w:cs="Times New Roman"/>
          <w:sz w:val="24"/>
          <w:szCs w:val="24"/>
          <w:lang w:eastAsia="zh-CN"/>
        </w:rPr>
        <w:t>采购包</w:t>
      </w:r>
      <w:r>
        <w:rPr>
          <w:rFonts w:hint="eastAsia" w:ascii="宋体" w:hAnsi="宋体" w:eastAsia="宋体" w:cs="Times New Roman"/>
          <w:sz w:val="24"/>
          <w:szCs w:val="24"/>
          <w:lang w:val="en-US" w:eastAsia="zh-CN"/>
        </w:rPr>
        <w:t>5：</w:t>
      </w:r>
    </w:p>
    <w:tbl>
      <w:tblPr>
        <w:tblStyle w:val="5"/>
        <w:tblW w:w="997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00"/>
        <w:gridCol w:w="2925"/>
        <w:gridCol w:w="2415"/>
        <w:gridCol w:w="720"/>
        <w:gridCol w:w="1095"/>
        <w:gridCol w:w="22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80" w:hRule="atLeast"/>
        </w:trPr>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序号</w:t>
            </w:r>
          </w:p>
        </w:tc>
        <w:tc>
          <w:tcPr>
            <w:tcW w:w="29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配送产品名称</w:t>
            </w:r>
          </w:p>
        </w:tc>
        <w:tc>
          <w:tcPr>
            <w:tcW w:w="2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 规格需求</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最小单位</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单价限价（元）</w:t>
            </w:r>
          </w:p>
        </w:tc>
        <w:tc>
          <w:tcPr>
            <w:tcW w:w="2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eastAsia="宋体" w:cs="宋体"/>
                <w:b/>
                <w:bCs/>
                <w:i w:val="0"/>
                <w:iCs w:val="0"/>
                <w:color w:val="000000"/>
                <w:kern w:val="0"/>
                <w:sz w:val="22"/>
                <w:szCs w:val="22"/>
                <w:u w:val="none"/>
                <w:lang w:val="en-US" w:eastAsia="zh-CN" w:bidi="ar"/>
              </w:rPr>
              <w:t>所投产品是否为四川药品和医用耗材招采管理系统挂网产品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0" w:hRule="atLeast"/>
        </w:trPr>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9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聚丙烯不可吸收缝合线1</w:t>
            </w:r>
          </w:p>
        </w:tc>
        <w:tc>
          <w:tcPr>
            <w:tcW w:w="2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根</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w:t>
            </w:r>
          </w:p>
        </w:tc>
        <w:tc>
          <w:tcPr>
            <w:tcW w:w="2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0" w:hRule="atLeast"/>
        </w:trPr>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9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聚丙烯不可吸收缝合线2</w:t>
            </w:r>
          </w:p>
        </w:tc>
        <w:tc>
          <w:tcPr>
            <w:tcW w:w="2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根</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170</w:t>
            </w:r>
          </w:p>
        </w:tc>
        <w:tc>
          <w:tcPr>
            <w:tcW w:w="2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0" w:hRule="atLeast"/>
        </w:trPr>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9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聚丙烯不可吸收缝合线3</w:t>
            </w:r>
          </w:p>
        </w:tc>
        <w:tc>
          <w:tcPr>
            <w:tcW w:w="2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根</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156</w:t>
            </w:r>
          </w:p>
        </w:tc>
        <w:tc>
          <w:tcPr>
            <w:tcW w:w="2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0" w:hRule="atLeast"/>
        </w:trPr>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29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聚丙烯不可吸收缝合线4</w:t>
            </w:r>
          </w:p>
        </w:tc>
        <w:tc>
          <w:tcPr>
            <w:tcW w:w="2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根</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170</w:t>
            </w:r>
          </w:p>
        </w:tc>
        <w:tc>
          <w:tcPr>
            <w:tcW w:w="2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0" w:hRule="atLeast"/>
        </w:trPr>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29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聚丙烯不可吸收缝合线5</w:t>
            </w:r>
          </w:p>
        </w:tc>
        <w:tc>
          <w:tcPr>
            <w:tcW w:w="2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根</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130.56</w:t>
            </w:r>
          </w:p>
        </w:tc>
        <w:tc>
          <w:tcPr>
            <w:tcW w:w="2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0" w:hRule="atLeast"/>
        </w:trPr>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29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医用真丝非吸收缝线1</w:t>
            </w:r>
          </w:p>
        </w:tc>
        <w:tc>
          <w:tcPr>
            <w:tcW w:w="2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0号</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根</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2.85</w:t>
            </w:r>
          </w:p>
        </w:tc>
        <w:tc>
          <w:tcPr>
            <w:tcW w:w="2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0" w:hRule="atLeast"/>
        </w:trPr>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29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医用真丝非吸收缝线2</w:t>
            </w:r>
          </w:p>
        </w:tc>
        <w:tc>
          <w:tcPr>
            <w:tcW w:w="2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1号</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根</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2.92</w:t>
            </w:r>
          </w:p>
        </w:tc>
        <w:tc>
          <w:tcPr>
            <w:tcW w:w="2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0" w:hRule="atLeast"/>
        </w:trPr>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29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医用真丝非吸收缝线3</w:t>
            </w:r>
          </w:p>
        </w:tc>
        <w:tc>
          <w:tcPr>
            <w:tcW w:w="2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根</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2.85</w:t>
            </w:r>
          </w:p>
        </w:tc>
        <w:tc>
          <w:tcPr>
            <w:tcW w:w="2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0" w:hRule="atLeast"/>
        </w:trPr>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29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医用真丝非吸收缝线4</w:t>
            </w:r>
          </w:p>
        </w:tc>
        <w:tc>
          <w:tcPr>
            <w:tcW w:w="2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根</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2.85</w:t>
            </w:r>
          </w:p>
        </w:tc>
        <w:tc>
          <w:tcPr>
            <w:tcW w:w="2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0" w:hRule="atLeast"/>
        </w:trPr>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29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医用真丝非吸收缝线5</w:t>
            </w:r>
          </w:p>
        </w:tc>
        <w:tc>
          <w:tcPr>
            <w:tcW w:w="2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根</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2.85</w:t>
            </w:r>
          </w:p>
        </w:tc>
        <w:tc>
          <w:tcPr>
            <w:tcW w:w="2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0" w:hRule="atLeast"/>
        </w:trPr>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29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骨蜡</w:t>
            </w:r>
          </w:p>
        </w:tc>
        <w:tc>
          <w:tcPr>
            <w:tcW w:w="2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r>
              <w:rPr>
                <w:rFonts w:hint="eastAsia" w:eastAsia="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5g</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eastAsia="宋体" w:cs="宋体"/>
                <w:i w:val="0"/>
                <w:iCs w:val="0"/>
                <w:color w:val="000000"/>
                <w:kern w:val="0"/>
                <w:sz w:val="22"/>
                <w:szCs w:val="22"/>
                <w:u w:val="none"/>
                <w:lang w:val="en-US" w:eastAsia="zh-CN" w:bidi="ar"/>
              </w:rPr>
              <w:t>包</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2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r>
    </w:tbl>
    <w:p>
      <w:pPr>
        <w:pStyle w:val="2"/>
        <w:spacing w:line="360" w:lineRule="auto"/>
        <w:ind w:firstLine="480" w:firstLineChars="200"/>
        <w:outlineLvl w:val="9"/>
        <w:rPr>
          <w:rFonts w:hint="eastAsia" w:ascii="宋体" w:hAnsi="宋体" w:eastAsia="宋体" w:cs="宋体"/>
          <w:sz w:val="24"/>
          <w:highlight w:val="none"/>
        </w:rPr>
      </w:pPr>
    </w:p>
    <w:p>
      <w:pPr>
        <w:pStyle w:val="2"/>
        <w:spacing w:line="360" w:lineRule="auto"/>
        <w:outlineLvl w:val="1"/>
        <w:rPr>
          <w:rFonts w:hint="eastAsia"/>
          <w:sz w:val="28"/>
          <w:szCs w:val="28"/>
          <w:highlight w:val="none"/>
        </w:rPr>
      </w:pPr>
      <w:r>
        <w:rPr>
          <w:rFonts w:hint="eastAsia" w:ascii="宋体" w:hAnsi="宋体" w:eastAsia="宋体" w:cs="宋体"/>
          <w:b/>
          <w:sz w:val="28"/>
          <w:szCs w:val="28"/>
          <w:highlight w:val="none"/>
          <w:lang w:val="en-US" w:eastAsia="zh-CN"/>
        </w:rPr>
        <w:t>2、</w:t>
      </w:r>
      <w:r>
        <w:rPr>
          <w:rFonts w:hint="eastAsia" w:ascii="宋体" w:hAnsi="宋体" w:eastAsia="宋体" w:cs="宋体"/>
          <w:b/>
          <w:sz w:val="28"/>
          <w:szCs w:val="28"/>
          <w:highlight w:val="none"/>
          <w:lang w:eastAsia="zh-CN"/>
        </w:rPr>
        <w:t>配送服务要求（实质性要求）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kern w:val="2"/>
          <w:sz w:val="24"/>
          <w:szCs w:val="24"/>
          <w:highlight w:val="none"/>
          <w:u w:val="none"/>
          <w:lang w:val="en-US" w:eastAsia="zh-CN" w:bidi="ar-SA"/>
        </w:rPr>
      </w:pPr>
      <w:r>
        <w:rPr>
          <w:rFonts w:hint="eastAsia" w:ascii="宋体" w:hAnsi="宋体" w:eastAsia="宋体" w:cs="宋体"/>
          <w:kern w:val="2"/>
          <w:sz w:val="24"/>
          <w:szCs w:val="24"/>
          <w:highlight w:val="none"/>
          <w:u w:val="none"/>
          <w:lang w:val="en-US" w:eastAsia="zh-CN" w:bidi="ar-SA"/>
        </w:rPr>
        <w:t>1、配送总体要求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kern w:val="2"/>
          <w:sz w:val="24"/>
          <w:szCs w:val="24"/>
          <w:highlight w:val="none"/>
          <w:u w:val="none"/>
          <w:lang w:val="en-US" w:eastAsia="zh-CN" w:bidi="ar-SA"/>
        </w:rPr>
      </w:pPr>
      <w:r>
        <w:rPr>
          <w:rFonts w:hint="eastAsia" w:ascii="宋体" w:hAnsi="宋体" w:eastAsia="宋体" w:cs="宋体"/>
          <w:kern w:val="2"/>
          <w:sz w:val="24"/>
          <w:szCs w:val="24"/>
          <w:highlight w:val="none"/>
          <w:u w:val="none"/>
          <w:lang w:val="en-US" w:eastAsia="zh-CN" w:bidi="ar-SA"/>
        </w:rPr>
        <w:t>1.1供应商应按照采购人的需求及采购计划按时、按质、按量进行配送。</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kern w:val="2"/>
          <w:sz w:val="24"/>
          <w:szCs w:val="24"/>
          <w:highlight w:val="none"/>
          <w:u w:val="none"/>
          <w:lang w:val="en-US" w:eastAsia="zh-CN" w:bidi="ar-SA"/>
        </w:rPr>
      </w:pPr>
      <w:r>
        <w:rPr>
          <w:rFonts w:hint="eastAsia" w:ascii="宋体" w:hAnsi="宋体" w:eastAsia="宋体" w:cs="宋体"/>
          <w:kern w:val="2"/>
          <w:sz w:val="24"/>
          <w:szCs w:val="24"/>
          <w:highlight w:val="none"/>
          <w:u w:val="none"/>
          <w:lang w:val="en-US" w:eastAsia="zh-CN" w:bidi="ar-SA"/>
        </w:rPr>
        <w:t>1.2成交供应商应严格按照响应文件响应的产品进行配送，包括品牌、规格、型号、生产厂家等。未经采购人同意，供应商不得擅自变更产品。如需变更产品，须由供应商向采购人提出书面申请，经采购人审批同意后才能进行配送。</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kern w:val="2"/>
          <w:sz w:val="24"/>
          <w:szCs w:val="24"/>
          <w:highlight w:val="none"/>
          <w:u w:val="none"/>
          <w:lang w:val="en-US" w:eastAsia="zh-CN" w:bidi="ar-SA"/>
        </w:rPr>
      </w:pPr>
      <w:r>
        <w:rPr>
          <w:rFonts w:hint="eastAsia" w:ascii="宋体" w:hAnsi="宋体" w:eastAsia="宋体" w:cs="宋体"/>
          <w:kern w:val="2"/>
          <w:sz w:val="24"/>
          <w:szCs w:val="24"/>
          <w:highlight w:val="none"/>
          <w:u w:val="none"/>
          <w:lang w:val="en-US" w:eastAsia="zh-CN" w:bidi="ar-SA"/>
        </w:rPr>
        <w:t>1.3配送具体实施方案由供需双方在签订采购合同时另行约定。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kern w:val="2"/>
          <w:sz w:val="24"/>
          <w:szCs w:val="24"/>
          <w:highlight w:val="none"/>
          <w:u w:val="none"/>
          <w:lang w:val="en-US" w:eastAsia="zh-CN" w:bidi="ar-SA"/>
        </w:rPr>
      </w:pPr>
      <w:r>
        <w:rPr>
          <w:rFonts w:hint="eastAsia" w:ascii="宋体" w:hAnsi="宋体" w:eastAsia="宋体" w:cs="宋体"/>
          <w:kern w:val="2"/>
          <w:sz w:val="24"/>
          <w:szCs w:val="24"/>
          <w:highlight w:val="none"/>
          <w:u w:val="none"/>
          <w:lang w:val="en-US" w:eastAsia="zh-CN" w:bidi="ar-SA"/>
        </w:rPr>
        <w:t>2、配送质量要求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kern w:val="2"/>
          <w:sz w:val="24"/>
          <w:szCs w:val="24"/>
          <w:highlight w:val="none"/>
          <w:u w:val="none"/>
          <w:lang w:val="en-US" w:eastAsia="zh-CN" w:bidi="ar-SA"/>
        </w:rPr>
      </w:pPr>
      <w:r>
        <w:rPr>
          <w:rFonts w:hint="eastAsia" w:ascii="宋体" w:hAnsi="宋体" w:eastAsia="宋体" w:cs="宋体"/>
          <w:kern w:val="2"/>
          <w:sz w:val="24"/>
          <w:szCs w:val="24"/>
          <w:highlight w:val="none"/>
          <w:u w:val="none"/>
          <w:lang w:val="en-US" w:eastAsia="zh-CN" w:bidi="ar-SA"/>
        </w:rPr>
        <w:t>2.1供应商配送的产品必须符合国家药品监督管理部门规定的质量标准和管理规范，确保临床使用安全有效，符合政府相关采购、销售管理规定。如供应商提供的产品不能满足临床需要，参数与磋商文件、响应文件不符，采购人有权退货，并追究由此造成的经济损失及相关法律责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kern w:val="2"/>
          <w:sz w:val="24"/>
          <w:szCs w:val="24"/>
          <w:highlight w:val="none"/>
          <w:u w:val="none"/>
          <w:lang w:val="en-US" w:eastAsia="zh-CN" w:bidi="ar-SA"/>
        </w:rPr>
      </w:pPr>
      <w:r>
        <w:rPr>
          <w:rFonts w:hint="eastAsia" w:ascii="宋体" w:hAnsi="宋体" w:eastAsia="宋体" w:cs="宋体"/>
          <w:kern w:val="2"/>
          <w:sz w:val="24"/>
          <w:szCs w:val="24"/>
          <w:highlight w:val="none"/>
          <w:u w:val="none"/>
          <w:lang w:val="en-US" w:eastAsia="zh-CN" w:bidi="ar-SA"/>
        </w:rPr>
        <w:t>2.2供应商配送产品前，必须向采购人提供有效的产品相关资质证明文件(至少包括医疗器械产品注册证或第一类医疗器械备案信息表)和第三方检测机构出具的检测报告,并保证所提供资料的真实性和有效性。</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kern w:val="2"/>
          <w:sz w:val="24"/>
          <w:szCs w:val="24"/>
          <w:highlight w:val="none"/>
          <w:u w:val="none"/>
          <w:lang w:val="en-US" w:eastAsia="zh-CN" w:bidi="ar-SA"/>
        </w:rPr>
      </w:pPr>
      <w:r>
        <w:rPr>
          <w:rFonts w:hint="eastAsia" w:ascii="宋体" w:hAnsi="宋体" w:eastAsia="宋体" w:cs="宋体"/>
          <w:kern w:val="2"/>
          <w:sz w:val="24"/>
          <w:szCs w:val="24"/>
          <w:highlight w:val="none"/>
          <w:u w:val="none"/>
          <w:lang w:val="en-US" w:eastAsia="zh-CN" w:bidi="ar-SA"/>
        </w:rPr>
        <w:t>2.3供应商配送的产品有效期应不低于该产品本身有效期一半时间以上(配送时)。若有效期内出现产品质量问题，供应商须按照合同约定，负责退换货;因产品质量问题导致相关医疗纠纷或经济赔偿，由供应商承担相应的经济和法律责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kern w:val="2"/>
          <w:sz w:val="24"/>
          <w:szCs w:val="24"/>
          <w:highlight w:val="none"/>
          <w:u w:val="none"/>
          <w:lang w:val="en-US" w:eastAsia="zh-CN" w:bidi="ar-SA"/>
        </w:rPr>
      </w:pPr>
      <w:r>
        <w:rPr>
          <w:rFonts w:hint="eastAsia" w:ascii="宋体" w:hAnsi="宋体" w:eastAsia="宋体" w:cs="宋体"/>
          <w:kern w:val="2"/>
          <w:sz w:val="24"/>
          <w:szCs w:val="24"/>
          <w:highlight w:val="none"/>
          <w:u w:val="none"/>
          <w:lang w:val="en-US" w:eastAsia="zh-CN" w:bidi="ar-SA"/>
        </w:rPr>
        <w:t>2.4供应商配送产品时，应按标准保护措施进行包装，以防止产品在运输过程中损坏或变质，确保完好无损运抵指定地点。对于破损产品须按采购人要求进行及时调换。</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kern w:val="2"/>
          <w:sz w:val="24"/>
          <w:szCs w:val="24"/>
          <w:highlight w:val="none"/>
          <w:u w:val="none"/>
          <w:lang w:val="en-US" w:eastAsia="zh-CN" w:bidi="ar-SA"/>
        </w:rPr>
      </w:pPr>
      <w:r>
        <w:rPr>
          <w:rFonts w:hint="eastAsia" w:ascii="宋体" w:hAnsi="宋体" w:eastAsia="宋体" w:cs="宋体"/>
          <w:kern w:val="2"/>
          <w:sz w:val="24"/>
          <w:szCs w:val="24"/>
          <w:highlight w:val="none"/>
          <w:u w:val="none"/>
          <w:lang w:val="en-US" w:eastAsia="zh-CN" w:bidi="ar-SA"/>
        </w:rPr>
        <w:t>2.6配送过程中，因各种原因导致的不合格产品、药监部门规定不允许销售的器械耗材、近效期未使用完的产品，均由供应商负责退换货。</w:t>
      </w:r>
    </w:p>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firstLine="480" w:firstLineChars="200"/>
        <w:textAlignment w:val="auto"/>
        <w:rPr>
          <w:rFonts w:hint="default"/>
          <w:highlight w:val="none"/>
          <w:lang w:val="en-US" w:eastAsia="zh-CN"/>
        </w:rPr>
      </w:pPr>
      <w:r>
        <w:rPr>
          <w:rFonts w:hint="eastAsia" w:ascii="宋体" w:hAnsi="宋体" w:eastAsia="宋体" w:cs="宋体"/>
          <w:kern w:val="2"/>
          <w:sz w:val="24"/>
          <w:szCs w:val="24"/>
          <w:highlight w:val="none"/>
          <w:u w:val="none"/>
          <w:lang w:val="en-US" w:eastAsia="zh-CN" w:bidi="ar-SA"/>
        </w:rPr>
        <w:t>2.7</w:t>
      </w:r>
      <w:r>
        <w:rPr>
          <w:rFonts w:hint="eastAsia" w:ascii="宋体" w:hAnsi="宋体" w:eastAsia="宋体" w:cs="宋体"/>
          <w:sz w:val="24"/>
          <w:szCs w:val="24"/>
          <w:highlight w:val="none"/>
          <w:lang w:val="en-US" w:eastAsia="zh-CN"/>
        </w:rPr>
        <w:t>在耗材配送服务期间，因成交供应商配送的产品质量问题给采购人造成的纠纷、医疗事故和经济损失由成交供应商负责。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kern w:val="2"/>
          <w:sz w:val="24"/>
          <w:szCs w:val="24"/>
          <w:highlight w:val="none"/>
          <w:u w:val="none"/>
          <w:lang w:val="en-US" w:eastAsia="zh-CN" w:bidi="ar-SA"/>
        </w:rPr>
      </w:pPr>
      <w:r>
        <w:rPr>
          <w:rFonts w:hint="eastAsia" w:ascii="宋体" w:hAnsi="宋体" w:eastAsia="宋体" w:cs="宋体"/>
          <w:kern w:val="2"/>
          <w:sz w:val="24"/>
          <w:szCs w:val="24"/>
          <w:highlight w:val="none"/>
          <w:u w:val="none"/>
          <w:lang w:val="en-US" w:eastAsia="zh-CN" w:bidi="ar-SA"/>
        </w:rPr>
        <w:t>3、配送物流要求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kern w:val="2"/>
          <w:sz w:val="24"/>
          <w:szCs w:val="24"/>
          <w:highlight w:val="none"/>
          <w:u w:val="none"/>
          <w:lang w:val="en-US" w:eastAsia="zh-CN" w:bidi="ar-SA"/>
        </w:rPr>
      </w:pPr>
      <w:r>
        <w:rPr>
          <w:rFonts w:hint="eastAsia" w:ascii="宋体" w:hAnsi="宋体" w:eastAsia="宋体" w:cs="宋体"/>
          <w:kern w:val="2"/>
          <w:sz w:val="24"/>
          <w:szCs w:val="24"/>
          <w:highlight w:val="none"/>
          <w:u w:val="none"/>
          <w:lang w:val="en-US" w:eastAsia="zh-CN" w:bidi="ar-SA"/>
        </w:rPr>
        <w:t>3.1供应商应组织专业运输车辆及配送人员，按时、按质、按量向采购人提供配送耗材，备有充足库存，负责产品的运输、现场搬运，并按要求送达采购人指定地点。(提供仓库照片及仓库场所租赁合同或产权证明。)</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kern w:val="2"/>
          <w:sz w:val="24"/>
          <w:szCs w:val="24"/>
          <w:highlight w:val="none"/>
          <w:u w:val="none"/>
          <w:lang w:val="en-US" w:eastAsia="zh-CN" w:bidi="ar-SA"/>
        </w:rPr>
      </w:pPr>
      <w:r>
        <w:rPr>
          <w:rFonts w:hint="eastAsia" w:ascii="宋体" w:hAnsi="宋体" w:eastAsia="宋体" w:cs="宋体"/>
          <w:kern w:val="2"/>
          <w:sz w:val="24"/>
          <w:szCs w:val="24"/>
          <w:highlight w:val="none"/>
          <w:u w:val="none"/>
          <w:lang w:val="en-US" w:eastAsia="zh-CN" w:bidi="ar-SA"/>
        </w:rPr>
        <w:t>3.2供应商应在2小时内响应采购人订单，并从订单下达之时起，急救产品2小时内送达，一般产品2个工作日内送达，如遇突发事件或特殊情况，不论工作日还是节假日均须在4小时内送达，生命支持类高值医用耗材节假日照常配送。</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kern w:val="2"/>
          <w:sz w:val="24"/>
          <w:szCs w:val="24"/>
          <w:highlight w:val="none"/>
          <w:u w:val="none"/>
          <w:lang w:val="en-US" w:eastAsia="zh-CN" w:bidi="ar-SA"/>
        </w:rPr>
      </w:pPr>
      <w:r>
        <w:rPr>
          <w:rFonts w:hint="eastAsia" w:ascii="宋体" w:hAnsi="宋体" w:eastAsia="宋体" w:cs="宋体"/>
          <w:kern w:val="2"/>
          <w:sz w:val="24"/>
          <w:szCs w:val="24"/>
          <w:highlight w:val="none"/>
          <w:u w:val="none"/>
          <w:lang w:val="en-US" w:eastAsia="zh-CN" w:bidi="ar-SA"/>
        </w:rPr>
        <w:t>3.3对配送耗材所提供的相关票据应符合财经制度的相关规定，并保证所提供票据和相关材料的真实性和有效性。</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kern w:val="2"/>
          <w:sz w:val="24"/>
          <w:szCs w:val="24"/>
          <w:highlight w:val="none"/>
          <w:u w:val="none"/>
          <w:lang w:val="en-US" w:eastAsia="zh-CN" w:bidi="ar-SA"/>
        </w:rPr>
      </w:pPr>
      <w:r>
        <w:rPr>
          <w:rFonts w:hint="eastAsia" w:ascii="宋体" w:hAnsi="宋体" w:eastAsia="宋体" w:cs="宋体"/>
          <w:kern w:val="2"/>
          <w:sz w:val="24"/>
          <w:szCs w:val="24"/>
          <w:highlight w:val="none"/>
          <w:u w:val="none"/>
          <w:lang w:val="en-US" w:eastAsia="zh-CN" w:bidi="ar-SA"/>
        </w:rPr>
        <w:t>其他要求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kern w:val="2"/>
          <w:sz w:val="24"/>
          <w:szCs w:val="24"/>
          <w:highlight w:val="none"/>
          <w:u w:val="none"/>
          <w:lang w:val="en-US" w:eastAsia="zh-CN" w:bidi="ar-SA"/>
        </w:rPr>
      </w:pPr>
      <w:r>
        <w:rPr>
          <w:rFonts w:hint="eastAsia" w:ascii="宋体" w:hAnsi="宋体" w:eastAsia="宋体" w:cs="宋体"/>
          <w:color w:val="auto"/>
          <w:sz w:val="24"/>
          <w:szCs w:val="24"/>
          <w:highlight w:val="none"/>
          <w:lang w:val="en-US" w:eastAsia="zh-CN"/>
        </w:rPr>
        <w:t>4.1</w:t>
      </w:r>
      <w:r>
        <w:rPr>
          <w:rFonts w:hint="eastAsia" w:ascii="宋体" w:hAnsi="宋体" w:eastAsia="宋体" w:cs="宋体"/>
          <w:color w:val="auto"/>
          <w:sz w:val="24"/>
          <w:szCs w:val="24"/>
          <w:highlight w:val="none"/>
          <w:lang w:eastAsia="zh-CN"/>
        </w:rPr>
        <w:t>供应商在报价时应提供该产品在该系统中的商品</w:t>
      </w:r>
      <w:r>
        <w:rPr>
          <w:rFonts w:hint="eastAsia" w:ascii="宋体" w:hAnsi="宋体" w:eastAsia="宋体" w:cs="宋体"/>
          <w:color w:val="auto"/>
          <w:sz w:val="24"/>
          <w:szCs w:val="24"/>
          <w:highlight w:val="none"/>
          <w:lang w:val="en-US" w:eastAsia="zh-CN"/>
        </w:rPr>
        <w:t>ID，后续配送时应严格按照该产品ID项公示的产品配送。</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kern w:val="2"/>
          <w:sz w:val="24"/>
          <w:szCs w:val="24"/>
          <w:highlight w:val="none"/>
          <w:u w:val="none"/>
          <w:lang w:val="en-US" w:eastAsia="zh-CN" w:bidi="ar-SA"/>
        </w:rPr>
      </w:pPr>
      <w:r>
        <w:rPr>
          <w:rFonts w:hint="eastAsia" w:ascii="宋体" w:hAnsi="宋体" w:eastAsia="宋体" w:cs="宋体"/>
          <w:kern w:val="2"/>
          <w:sz w:val="24"/>
          <w:szCs w:val="24"/>
          <w:highlight w:val="none"/>
          <w:u w:val="none"/>
          <w:lang w:val="en-US" w:eastAsia="zh-CN" w:bidi="ar-SA"/>
        </w:rPr>
        <w:t>4.2挂网耗材严格按照《四川省医药机构医用耗材集中采购实施方案》川医保规〔2021〕10号文件要求执行。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kern w:val="2"/>
          <w:sz w:val="24"/>
          <w:szCs w:val="24"/>
          <w:highlight w:val="none"/>
          <w:u w:val="none"/>
          <w:lang w:val="en-US" w:eastAsia="zh-CN" w:bidi="ar-SA"/>
        </w:rPr>
      </w:pPr>
      <w:r>
        <w:rPr>
          <w:rFonts w:hint="eastAsia" w:ascii="宋体" w:hAnsi="宋体" w:eastAsia="宋体" w:cs="宋体"/>
          <w:kern w:val="2"/>
          <w:sz w:val="24"/>
          <w:szCs w:val="24"/>
          <w:highlight w:val="none"/>
          <w:u w:val="none"/>
          <w:lang w:val="en-US" w:eastAsia="zh-CN" w:bidi="ar-SA"/>
        </w:rPr>
        <w:t>4.4成交供应商在服务期限内须按照采购人的要求提供伴随服务。</w:t>
      </w:r>
      <w:r>
        <w:rPr>
          <w:rFonts w:hint="eastAsia" w:ascii="宋体" w:hAnsi="宋体" w:eastAsia="宋体" w:cs="宋体"/>
          <w:b/>
          <w:bCs/>
          <w:kern w:val="2"/>
          <w:sz w:val="24"/>
          <w:szCs w:val="24"/>
          <w:highlight w:val="none"/>
          <w:u w:val="none"/>
          <w:lang w:val="en-US" w:eastAsia="zh-CN" w:bidi="ar-SA"/>
        </w:rPr>
        <w:t>(提供承诺函)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lang w:val="en-US" w:eastAsia="zh-CN"/>
        </w:rPr>
      </w:pPr>
      <w:r>
        <w:rPr>
          <w:rFonts w:hint="eastAsia" w:ascii="宋体" w:hAnsi="宋体" w:eastAsia="宋体" w:cs="宋体"/>
          <w:kern w:val="2"/>
          <w:sz w:val="24"/>
          <w:szCs w:val="24"/>
          <w:highlight w:val="none"/>
          <w:u w:val="none"/>
          <w:lang w:val="en-US" w:eastAsia="zh-CN" w:bidi="ar-SA"/>
        </w:rPr>
        <w:t>5、考核要求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kern w:val="2"/>
          <w:sz w:val="24"/>
          <w:szCs w:val="24"/>
          <w:highlight w:val="none"/>
          <w:u w:val="none"/>
          <w:lang w:val="en-US" w:eastAsia="zh-CN" w:bidi="ar-SA"/>
        </w:rPr>
      </w:pPr>
      <w:r>
        <w:rPr>
          <w:rFonts w:hint="eastAsia" w:ascii="宋体" w:hAnsi="宋体" w:eastAsia="宋体" w:cs="宋体"/>
          <w:kern w:val="2"/>
          <w:sz w:val="24"/>
          <w:szCs w:val="24"/>
          <w:highlight w:val="none"/>
          <w:u w:val="none"/>
          <w:lang w:val="en-US" w:eastAsia="zh-CN" w:bidi="ar-SA"/>
        </w:rPr>
        <w:t>5.1采购人每年度按医院相关规定对供货商进行综合考核，不合格者不再续签相关合同。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kern w:val="2"/>
          <w:sz w:val="24"/>
          <w:szCs w:val="24"/>
          <w:highlight w:val="none"/>
          <w:u w:val="none"/>
          <w:lang w:val="en-US" w:eastAsia="zh-CN" w:bidi="ar-SA"/>
        </w:rPr>
      </w:pPr>
      <w:r>
        <w:rPr>
          <w:rFonts w:hint="eastAsia" w:ascii="宋体" w:hAnsi="宋体" w:eastAsia="宋体" w:cs="宋体"/>
          <w:kern w:val="2"/>
          <w:sz w:val="24"/>
          <w:szCs w:val="24"/>
          <w:highlight w:val="none"/>
          <w:u w:val="none"/>
          <w:lang w:val="en-US" w:eastAsia="zh-CN" w:bidi="ar-SA"/>
        </w:rPr>
        <w:t>5.2附件1作为医用耗材配送供应商考核办法大纲参考，具体考核细则由供需双方在采购合同中另行约定。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lang w:eastAsia="zh-CN"/>
        </w:rPr>
      </w:pPr>
      <w:r>
        <w:rPr>
          <w:rFonts w:hint="eastAsia" w:ascii="Cambria" w:hAnsi="Cambria" w:eastAsia="Times New Roman" w:cs="Times New Roman"/>
          <w:b/>
          <w:bCs/>
          <w:kern w:val="28"/>
          <w:sz w:val="32"/>
          <w:szCs w:val="32"/>
          <w:lang w:val="en-US" w:eastAsia="zh-CN" w:bidi="ar-SA"/>
        </w:rPr>
        <w:t>三、其他要求：</w:t>
      </w:r>
      <w:r>
        <w:rPr>
          <w:rFonts w:hint="eastAsia"/>
          <w:sz w:val="24"/>
          <w:szCs w:val="24"/>
          <w:lang w:eastAsia="zh-CN"/>
        </w:rPr>
        <w:t>（本项不做实质性要求，仅作后续评分参考）</w:t>
      </w:r>
    </w:p>
    <w:p>
      <w:pPr>
        <w:pStyle w:val="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供应商根据自身情况，结合项目实际需求在响应时可提供：</w:t>
      </w:r>
    </w:p>
    <w:p>
      <w:pPr>
        <w:pStyle w:val="2"/>
        <w:keepNext w:val="0"/>
        <w:keepLines w:val="0"/>
        <w:pageBreakBefore w:val="0"/>
        <w:widowControl w:val="0"/>
        <w:numPr>
          <w:ilvl w:val="0"/>
          <w:numId w:val="3"/>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项目实施方案包含：</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服务方案 包括:①备品备件方案；②产品配送方案；③组织协调方案；④诚信廉洁方案；⑤电子化采购实施方案；⑥运输保障及装卸；⑦安全文明及保障措施等。</w:t>
      </w:r>
    </w:p>
    <w:p>
      <w:pPr>
        <w:pStyle w:val="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应急预案 包括:①配送突发状况处理方案；②产品突发状况处理方案；③应急物资的调配方案；④应急人员配置等。</w:t>
      </w:r>
    </w:p>
    <w:p>
      <w:pPr>
        <w:pStyle w:val="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内控制度 包括①产品品控管理制度；②产品采购监管制度；③产品仓储管理制度；④产品配送管理制度等。</w:t>
      </w:r>
    </w:p>
    <w:p>
      <w:pPr>
        <w:pStyle w:val="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2、后续服务方案包含：①后续服务人员配置；②后续服务内容及范围；③后续服务保障措施；④后续服务响应时间等</w:t>
      </w:r>
      <w:r>
        <w:rPr>
          <w:rFonts w:hint="eastAsia" w:ascii="宋体" w:hAnsi="宋体" w:eastAsia="宋体" w:cs="宋体"/>
          <w:sz w:val="24"/>
          <w:szCs w:val="24"/>
          <w:highlight w:val="none"/>
          <w:lang w:eastAsia="zh-CN"/>
        </w:rPr>
        <w:t>。</w:t>
      </w:r>
    </w:p>
    <w:p>
      <w:pPr>
        <w:pStyle w:val="2"/>
        <w:spacing w:line="360" w:lineRule="auto"/>
        <w:outlineLvl w:val="1"/>
        <w:rPr>
          <w:rFonts w:hint="eastAsia" w:ascii="宋体" w:hAnsi="宋体" w:eastAsia="宋体" w:cs="宋体"/>
          <w:b/>
          <w:sz w:val="32"/>
          <w:highlight w:val="none"/>
          <w:lang w:eastAsia="zh-CN"/>
        </w:rPr>
      </w:pPr>
      <w:r>
        <w:rPr>
          <w:rFonts w:hint="eastAsia" w:ascii="宋体" w:hAnsi="宋体" w:eastAsia="宋体" w:cs="宋体"/>
          <w:b/>
          <w:sz w:val="32"/>
          <w:highlight w:val="none"/>
          <w:lang w:eastAsia="zh-CN"/>
        </w:rPr>
        <w:t>四</w:t>
      </w:r>
      <w:r>
        <w:rPr>
          <w:rFonts w:hint="eastAsia" w:ascii="宋体" w:hAnsi="宋体" w:eastAsia="宋体" w:cs="宋体"/>
          <w:b/>
          <w:sz w:val="32"/>
          <w:highlight w:val="none"/>
        </w:rPr>
        <w:t>、商务要求</w:t>
      </w:r>
      <w:r>
        <w:rPr>
          <w:rFonts w:hint="eastAsia" w:ascii="宋体" w:hAnsi="宋体" w:eastAsia="宋体" w:cs="宋体"/>
          <w:b/>
          <w:sz w:val="32"/>
          <w:highlight w:val="none"/>
          <w:lang w:eastAsia="zh-CN"/>
        </w:rPr>
        <w:t>（实质性要求）</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eastAsia="zh-CN"/>
        </w:rPr>
        <w:t>履约期限</w:t>
      </w:r>
      <w:r>
        <w:rPr>
          <w:rFonts w:hint="eastAsia" w:ascii="宋体" w:hAnsi="宋体" w:eastAsia="宋体" w:cs="宋体"/>
          <w:color w:val="auto"/>
          <w:sz w:val="24"/>
          <w:szCs w:val="24"/>
          <w:highlight w:val="none"/>
        </w:rPr>
        <w:t>：</w:t>
      </w:r>
      <w:r>
        <w:rPr>
          <w:rFonts w:hint="eastAsia" w:eastAsia="宋体" w:cs="宋体"/>
          <w:color w:val="auto"/>
          <w:sz w:val="24"/>
          <w:szCs w:val="24"/>
          <w:highlight w:val="none"/>
          <w:lang w:eastAsia="zh-CN"/>
        </w:rPr>
        <w:t>自合同签订生效之日起</w:t>
      </w:r>
      <w:r>
        <w:rPr>
          <w:rFonts w:hint="eastAsia" w:eastAsia="宋体" w:cs="宋体"/>
          <w:color w:val="auto"/>
          <w:sz w:val="24"/>
          <w:szCs w:val="24"/>
          <w:highlight w:val="none"/>
          <w:lang w:val="en-US" w:eastAsia="zh-CN"/>
        </w:rPr>
        <w:t>3年，</w:t>
      </w:r>
      <w:r>
        <w:rPr>
          <w:rFonts w:hint="eastAsia" w:eastAsia="宋体" w:cs="宋体"/>
          <w:color w:val="auto"/>
          <w:sz w:val="24"/>
          <w:szCs w:val="24"/>
          <w:highlight w:val="none"/>
          <w:lang w:eastAsia="zh-CN"/>
        </w:rPr>
        <w:t>合同</w:t>
      </w:r>
      <w:r>
        <w:rPr>
          <w:rFonts w:hint="eastAsia" w:ascii="宋体" w:hAnsi="宋体" w:eastAsia="宋体" w:cs="宋体"/>
          <w:b w:val="0"/>
          <w:sz w:val="24"/>
          <w:lang w:eastAsia="zh-CN"/>
        </w:rPr>
        <w:t>一年一签；</w:t>
      </w:r>
      <w:r>
        <w:rPr>
          <w:rFonts w:hint="eastAsia" w:ascii="宋体" w:hAnsi="宋体" w:eastAsia="宋体" w:cs="宋体"/>
          <w:b w:val="0"/>
          <w:sz w:val="24"/>
          <w:lang w:val="en-US" w:eastAsia="zh-CN"/>
        </w:rPr>
        <w:t>根据供应商配送服务能力、服务质量等考核，考核合格，续签下一年度合同，考核不合格，采购人有权拒签合同</w:t>
      </w:r>
      <w:r>
        <w:rPr>
          <w:rFonts w:hint="eastAsia" w:ascii="宋体" w:hAnsi="宋体" w:eastAsia="宋体" w:cs="宋体"/>
          <w:color w:val="000000"/>
          <w:kern w:val="0"/>
          <w:sz w:val="24"/>
          <w:szCs w:val="24"/>
          <w:lang w:val="en-US" w:eastAsia="zh-CN" w:bidi="ar"/>
        </w:rPr>
        <w:t>。</w:t>
      </w:r>
      <w:r>
        <w:rPr>
          <w:rFonts w:hint="eastAsia" w:ascii="宋体" w:hAnsi="宋体" w:eastAsia="宋体" w:cs="宋体"/>
          <w:color w:val="auto"/>
          <w:sz w:val="24"/>
          <w:szCs w:val="24"/>
          <w:highlight w:val="none"/>
        </w:rPr>
        <w:t>（具体以合同</w:t>
      </w:r>
      <w:r>
        <w:rPr>
          <w:rFonts w:hint="eastAsia" w:eastAsia="宋体" w:cs="宋体"/>
          <w:color w:val="auto"/>
          <w:sz w:val="24"/>
          <w:szCs w:val="24"/>
          <w:highlight w:val="none"/>
          <w:lang w:eastAsia="zh-CN"/>
        </w:rPr>
        <w:t>约定</w:t>
      </w:r>
      <w:r>
        <w:rPr>
          <w:rFonts w:hint="eastAsia" w:ascii="宋体" w:hAnsi="宋体" w:eastAsia="宋体" w:cs="宋体"/>
          <w:color w:val="auto"/>
          <w:sz w:val="24"/>
          <w:szCs w:val="24"/>
          <w:highlight w:val="none"/>
        </w:rPr>
        <w:t>为准）</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eastAsia="宋体" w:cs="宋体"/>
          <w:color w:val="auto"/>
          <w:sz w:val="24"/>
          <w:szCs w:val="24"/>
          <w:highlight w:val="none"/>
          <w:lang w:eastAsia="zh-CN"/>
        </w:rPr>
        <w:t>结算要求</w:t>
      </w:r>
      <w:r>
        <w:rPr>
          <w:rFonts w:hint="eastAsia" w:ascii="宋体" w:hAnsi="宋体" w:eastAsia="宋体" w:cs="宋体"/>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50"/>
        <w:textAlignment w:val="auto"/>
        <w:rPr>
          <w:rFonts w:hint="eastAsia" w:eastAsia="宋体" w:cs="宋体"/>
          <w:color w:val="auto"/>
          <w:sz w:val="24"/>
          <w:szCs w:val="24"/>
          <w:highlight w:val="none"/>
          <w:lang w:eastAsia="zh-CN"/>
        </w:rPr>
      </w:pPr>
      <w:r>
        <w:rPr>
          <w:rFonts w:hint="eastAsia" w:eastAsia="宋体" w:cs="宋体"/>
          <w:color w:val="auto"/>
          <w:sz w:val="24"/>
          <w:szCs w:val="24"/>
          <w:highlight w:val="none"/>
          <w:lang w:val="en-US" w:eastAsia="zh-CN"/>
        </w:rPr>
        <w:t>2.1.</w:t>
      </w:r>
      <w:r>
        <w:rPr>
          <w:rFonts w:hint="eastAsia" w:ascii="宋体" w:hAnsi="宋体" w:eastAsia="宋体" w:cs="宋体"/>
          <w:color w:val="auto"/>
          <w:sz w:val="24"/>
          <w:szCs w:val="24"/>
          <w:highlight w:val="none"/>
          <w:lang w:val="en-US" w:eastAsia="zh-CN"/>
        </w:rPr>
        <w:t>供应商所提供的产品经验收合格、使用正常、无质量问题前提下按入库的实际数量*单价结算</w:t>
      </w:r>
      <w:r>
        <w:rPr>
          <w:rFonts w:hint="eastAsia" w:eastAsia="宋体" w:cs="宋体"/>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50"/>
        <w:textAlignment w:val="auto"/>
        <w:rPr>
          <w:rFonts w:hint="eastAsia" w:eastAsia="宋体" w:cs="宋体"/>
          <w:color w:val="auto"/>
          <w:sz w:val="24"/>
          <w:szCs w:val="24"/>
          <w:highlight w:val="none"/>
          <w:lang w:eastAsia="zh-CN"/>
        </w:rPr>
      </w:pPr>
      <w:r>
        <w:rPr>
          <w:rFonts w:hint="eastAsia" w:eastAsia="宋体" w:cs="宋体"/>
          <w:color w:val="auto"/>
          <w:sz w:val="24"/>
          <w:szCs w:val="24"/>
          <w:highlight w:val="none"/>
          <w:lang w:val="en-US" w:eastAsia="zh-CN"/>
        </w:rPr>
        <w:t>2.2.</w:t>
      </w:r>
      <w:r>
        <w:rPr>
          <w:rFonts w:hint="eastAsia" w:ascii="宋体" w:hAnsi="宋体" w:eastAsia="宋体" w:cs="宋体"/>
          <w:color w:val="auto"/>
          <w:sz w:val="24"/>
          <w:szCs w:val="24"/>
          <w:highlight w:val="none"/>
          <w:lang w:eastAsia="zh-CN"/>
        </w:rPr>
        <w:t>产品按照该</w:t>
      </w:r>
      <w:r>
        <w:rPr>
          <w:rFonts w:hint="eastAsia" w:eastAsia="宋体" w:cs="宋体"/>
          <w:color w:val="auto"/>
          <w:sz w:val="24"/>
          <w:szCs w:val="24"/>
          <w:highlight w:val="none"/>
          <w:lang w:eastAsia="zh-CN"/>
        </w:rPr>
        <w:t>产品实时挂网</w:t>
      </w:r>
      <w:r>
        <w:rPr>
          <w:rFonts w:hint="eastAsia" w:ascii="宋体" w:hAnsi="宋体" w:eastAsia="宋体" w:cs="宋体"/>
          <w:color w:val="auto"/>
          <w:sz w:val="24"/>
          <w:szCs w:val="24"/>
          <w:highlight w:val="none"/>
          <w:lang w:eastAsia="zh-CN"/>
        </w:rPr>
        <w:t>价</w:t>
      </w:r>
      <w:r>
        <w:rPr>
          <w:rFonts w:hint="eastAsia" w:eastAsia="宋体" w:cs="宋体"/>
          <w:color w:val="auto"/>
          <w:sz w:val="24"/>
          <w:szCs w:val="24"/>
          <w:highlight w:val="none"/>
          <w:lang w:eastAsia="zh-CN"/>
        </w:rPr>
        <w:t>与磋商成交价相比较择低执行结算；</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50"/>
        <w:textAlignment w:val="auto"/>
        <w:rPr>
          <w:rFonts w:hint="eastAsia" w:ascii="宋体" w:hAnsi="宋体" w:eastAsia="宋体" w:cs="宋体"/>
          <w:b w:val="0"/>
          <w:bCs w:val="0"/>
          <w:color w:val="auto"/>
          <w:sz w:val="24"/>
          <w:szCs w:val="24"/>
          <w:highlight w:val="none"/>
        </w:rPr>
      </w:pPr>
      <w:r>
        <w:rPr>
          <w:rFonts w:hint="eastAsia" w:eastAsia="宋体" w:cs="宋体"/>
          <w:color w:val="auto"/>
          <w:sz w:val="24"/>
          <w:szCs w:val="24"/>
          <w:highlight w:val="none"/>
          <w:lang w:val="en-US" w:eastAsia="zh-CN"/>
        </w:rPr>
        <w:t>2.3.成交供应商应每月向采购人提交对已配送耗材的税票和有关单据申请支付，形成滚动者9个月后按月滚动付款，未形成滚动者用完后付款。</w:t>
      </w:r>
      <w:r>
        <w:rPr>
          <w:rFonts w:hint="eastAsia" w:ascii="宋体" w:hAnsi="宋体" w:eastAsia="宋体" w:cs="宋体"/>
          <w:b w:val="0"/>
          <w:bCs w:val="0"/>
          <w:color w:val="auto"/>
          <w:sz w:val="24"/>
          <w:szCs w:val="24"/>
          <w:highlight w:val="none"/>
        </w:rPr>
        <w:t>（具体以合同</w:t>
      </w:r>
      <w:r>
        <w:rPr>
          <w:rFonts w:hint="eastAsia" w:eastAsia="宋体" w:cs="宋体"/>
          <w:b w:val="0"/>
          <w:bCs w:val="0"/>
          <w:color w:val="auto"/>
          <w:sz w:val="24"/>
          <w:szCs w:val="24"/>
          <w:highlight w:val="none"/>
          <w:lang w:eastAsia="zh-CN"/>
        </w:rPr>
        <w:t>约定</w:t>
      </w:r>
      <w:r>
        <w:rPr>
          <w:rFonts w:hint="eastAsia" w:ascii="宋体" w:hAnsi="宋体" w:eastAsia="宋体" w:cs="宋体"/>
          <w:b w:val="0"/>
          <w:bCs w:val="0"/>
          <w:color w:val="auto"/>
          <w:sz w:val="24"/>
          <w:szCs w:val="24"/>
          <w:highlight w:val="none"/>
        </w:rPr>
        <w:t>为准）</w:t>
      </w:r>
    </w:p>
    <w:p>
      <w:pPr>
        <w:pStyle w:val="2"/>
        <w:keepNext w:val="0"/>
        <w:keepLines w:val="0"/>
        <w:pageBreakBefore w:val="0"/>
        <w:widowControl w:val="0"/>
        <w:numPr>
          <w:ilvl w:val="0"/>
          <w:numId w:val="4"/>
        </w:numPr>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eastAsia="zh-CN"/>
        </w:rPr>
        <w:t>履约</w:t>
      </w:r>
      <w:r>
        <w:rPr>
          <w:rFonts w:hint="eastAsia" w:ascii="宋体" w:hAnsi="宋体" w:eastAsia="宋体" w:cs="宋体"/>
          <w:b w:val="0"/>
          <w:bCs w:val="0"/>
          <w:color w:val="auto"/>
          <w:sz w:val="24"/>
          <w:szCs w:val="24"/>
          <w:highlight w:val="none"/>
        </w:rPr>
        <w:t>地点：采购人指定地点。</w:t>
      </w:r>
    </w:p>
    <w:p>
      <w:pPr>
        <w:pStyle w:val="2"/>
        <w:keepNext w:val="0"/>
        <w:keepLines w:val="0"/>
        <w:pageBreakBefore w:val="0"/>
        <w:widowControl w:val="0"/>
        <w:numPr>
          <w:ilvl w:val="0"/>
          <w:numId w:val="4"/>
        </w:numPr>
        <w:kinsoku/>
        <w:wordWrap/>
        <w:overflowPunct/>
        <w:topLinePunct w:val="0"/>
        <w:autoSpaceDE/>
        <w:autoSpaceDN/>
        <w:bidi w:val="0"/>
        <w:adjustRightInd/>
        <w:snapToGrid/>
        <w:spacing w:after="0"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b w:val="0"/>
          <w:bCs w:val="0"/>
          <w:sz w:val="24"/>
          <w:szCs w:val="24"/>
          <w:highlight w:val="none"/>
          <w:u w:val="none"/>
          <w:lang w:val="en-US" w:eastAsia="zh-CN"/>
        </w:rPr>
        <w:t>报</w:t>
      </w:r>
      <w:r>
        <w:rPr>
          <w:rFonts w:hint="eastAsia" w:ascii="宋体" w:hAnsi="宋体" w:eastAsia="宋体" w:cs="宋体"/>
          <w:sz w:val="24"/>
          <w:szCs w:val="24"/>
          <w:highlight w:val="none"/>
          <w:u w:val="none"/>
          <w:lang w:val="en-US" w:eastAsia="zh-CN"/>
        </w:rPr>
        <w:t>价要求：本项目采用报单价方式报价，供应商所提供报价应是针对本项目提供的服务及服务所需的配送车辆、产品、人工、装卸、运输、保险、后续服务、管理、利润、检验检测、税金等其它各类费用的总和，采购人不再支付其他费用。</w:t>
      </w:r>
    </w:p>
    <w:p>
      <w:pPr>
        <w:pStyle w:val="2"/>
        <w:keepNext w:val="0"/>
        <w:keepLines w:val="0"/>
        <w:pageBreakBefore w:val="0"/>
        <w:widowControl w:val="0"/>
        <w:numPr>
          <w:ilvl w:val="0"/>
          <w:numId w:val="4"/>
        </w:numPr>
        <w:kinsoku/>
        <w:wordWrap/>
        <w:overflowPunct/>
        <w:topLinePunct w:val="0"/>
        <w:autoSpaceDE/>
        <w:autoSpaceDN/>
        <w:bidi w:val="0"/>
        <w:adjustRightInd/>
        <w:snapToGrid/>
        <w:spacing w:after="0"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安全责任:供应商应为完成本项目做好相应的安全防护措施，项目实施过程中因供应商原因造成的安全责任由成交供应商负责，采购人不承担任何责任。</w:t>
      </w:r>
      <w:r>
        <w:rPr>
          <w:rFonts w:hint="eastAsia" w:ascii="宋体" w:hAnsi="宋体" w:eastAsia="宋体" w:cs="宋体"/>
          <w:b/>
          <w:bCs/>
          <w:color w:val="auto"/>
          <w:sz w:val="24"/>
          <w:szCs w:val="24"/>
          <w:highlight w:val="none"/>
          <w:lang w:eastAsia="zh-CN"/>
        </w:rPr>
        <w:t>(提供承诺函)</w:t>
      </w:r>
    </w:p>
    <w:p>
      <w:pPr>
        <w:pStyle w:val="2"/>
        <w:keepNext w:val="0"/>
        <w:keepLines w:val="0"/>
        <w:pageBreakBefore w:val="0"/>
        <w:widowControl w:val="0"/>
        <w:numPr>
          <w:ilvl w:val="0"/>
          <w:numId w:val="4"/>
        </w:numPr>
        <w:kinsoku/>
        <w:wordWrap/>
        <w:overflowPunct/>
        <w:topLinePunct w:val="0"/>
        <w:autoSpaceDE/>
        <w:autoSpaceDN/>
        <w:bidi w:val="0"/>
        <w:adjustRightInd/>
        <w:snapToGrid/>
        <w:spacing w:after="0"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2"/>
          <w:sz w:val="24"/>
          <w:szCs w:val="24"/>
          <w:lang w:val="en-US" w:eastAsia="zh-CN" w:bidi="ar-SA"/>
        </w:rPr>
        <w:t>验收标准：采购人按照政府采购相关法律法规、《财政部关于进一步加强政府采购需求和履约验收管理的指导意见》（财库〔2016〕205 号）、《政府采购需求管理办法》（财库</w:t>
      </w:r>
      <w:r>
        <w:rPr>
          <w:rFonts w:hint="eastAsia" w:ascii="宋体" w:hAnsi="宋体" w:eastAsia="宋体" w:cs="宋体"/>
          <w:color w:val="auto"/>
          <w:sz w:val="24"/>
          <w:szCs w:val="24"/>
          <w:lang w:eastAsia="zh-CN"/>
        </w:rPr>
        <w:t>〔2021〕22号）</w:t>
      </w:r>
      <w:r>
        <w:rPr>
          <w:rFonts w:hint="eastAsia" w:ascii="宋体" w:hAnsi="宋体" w:eastAsia="宋体" w:cs="宋体"/>
          <w:color w:val="auto"/>
          <w:sz w:val="24"/>
          <w:szCs w:val="24"/>
        </w:rPr>
        <w:t>的要求及国家行业主管部门规定的标准、方法和内容</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highlight w:val="none"/>
        </w:rPr>
        <w:t>合同要求等进行验收。</w:t>
      </w:r>
    </w:p>
    <w:p>
      <w:pPr>
        <w:pStyle w:val="2"/>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color w:val="auto"/>
          <w:sz w:val="24"/>
          <w:szCs w:val="24"/>
          <w:highlight w:val="none"/>
          <w:lang w:val="en-US" w:eastAsia="zh-CN"/>
        </w:rPr>
        <w:t>7</w:t>
      </w:r>
      <w:r>
        <w:rPr>
          <w:rFonts w:hint="eastAsia" w:ascii="宋体" w:hAnsi="宋体" w:eastAsia="宋体" w:cs="宋体"/>
          <w:color w:val="auto"/>
          <w:sz w:val="24"/>
          <w:szCs w:val="24"/>
          <w:highlight w:val="none"/>
        </w:rPr>
        <w:t>、其他未尽事宜由供需双方在合同中详细约定。</w:t>
      </w:r>
    </w:p>
    <w:p>
      <w:pPr>
        <w:outlineLvl w:val="9"/>
        <w:rPr>
          <w:rFonts w:hint="eastAsia" w:ascii="宋体" w:hAnsi="宋体" w:eastAsia="宋体" w:cs="宋体"/>
          <w:highlight w:val="none"/>
        </w:rPr>
      </w:pPr>
    </w:p>
    <w:p>
      <w:pPr>
        <w:pStyle w:val="4"/>
        <w:keepNext w:val="0"/>
        <w:keepLines w:val="0"/>
        <w:pageBreakBefore w:val="0"/>
        <w:widowControl w:val="0"/>
        <w:kinsoku/>
        <w:wordWrap/>
        <w:overflowPunct/>
        <w:topLinePunct w:val="0"/>
        <w:autoSpaceDE/>
        <w:autoSpaceDN/>
        <w:bidi w:val="0"/>
        <w:adjustRightInd/>
        <w:snapToGrid/>
        <w:spacing w:line="420" w:lineRule="exact"/>
        <w:jc w:val="left"/>
        <w:textAlignment w:val="auto"/>
        <w:outlineLvl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附</w:t>
      </w:r>
      <w:bookmarkStart w:id="0" w:name="_GoBack"/>
      <w:bookmarkEnd w:id="0"/>
      <w:r>
        <w:rPr>
          <w:rFonts w:hint="eastAsia" w:ascii="宋体" w:hAnsi="宋体" w:eastAsia="宋体" w:cs="宋体"/>
          <w:sz w:val="24"/>
          <w:szCs w:val="24"/>
          <w:highlight w:val="none"/>
        </w:rPr>
        <w:t>:</w:t>
      </w:r>
      <w:r>
        <w:rPr>
          <w:rFonts w:hint="eastAsia" w:ascii="宋体" w:hAnsi="宋体" w:eastAsia="宋体" w:cs="宋体"/>
          <w:sz w:val="24"/>
          <w:szCs w:val="24"/>
          <w:highlight w:val="none"/>
          <w:lang w:eastAsia="zh-CN"/>
        </w:rPr>
        <w:t>医用耗材配送</w:t>
      </w:r>
      <w:r>
        <w:rPr>
          <w:rFonts w:hint="eastAsia" w:ascii="宋体" w:hAnsi="宋体" w:eastAsia="宋体" w:cs="宋体"/>
          <w:sz w:val="24"/>
          <w:szCs w:val="24"/>
          <w:highlight w:val="none"/>
        </w:rPr>
        <w:t>供应商考核办法</w:t>
      </w:r>
    </w:p>
    <w:p>
      <w:pPr>
        <w:pStyle w:val="4"/>
        <w:keepNext w:val="0"/>
        <w:keepLines w:val="0"/>
        <w:pageBreakBefore w:val="0"/>
        <w:widowControl w:val="0"/>
        <w:kinsoku/>
        <w:wordWrap/>
        <w:overflowPunct/>
        <w:topLinePunct w:val="0"/>
        <w:autoSpaceDE/>
        <w:autoSpaceDN/>
        <w:bidi w:val="0"/>
        <w:adjustRightInd/>
        <w:snapToGrid/>
        <w:spacing w:line="420" w:lineRule="exact"/>
        <w:jc w:val="left"/>
        <w:textAlignment w:val="auto"/>
        <w:outlineLvl w:val="0"/>
        <w:rPr>
          <w:rFonts w:hint="eastAsia" w:ascii="宋体" w:hAnsi="宋体" w:eastAsia="宋体" w:cs="宋体"/>
          <w:b w:val="0"/>
          <w:bCs w:val="0"/>
          <w:sz w:val="24"/>
          <w:szCs w:val="24"/>
          <w:highlight w:val="none"/>
          <w:lang w:eastAsia="zh-CN"/>
        </w:rPr>
      </w:pPr>
      <w:r>
        <w:rPr>
          <w:rFonts w:hint="eastAsia" w:ascii="宋体" w:hAnsi="宋体" w:eastAsia="宋体" w:cs="宋体"/>
          <w:b/>
          <w:bCs/>
          <w:sz w:val="24"/>
          <w:szCs w:val="24"/>
          <w:highlight w:val="none"/>
          <w:lang w:eastAsia="zh-CN"/>
        </w:rPr>
        <w:t>概述：</w:t>
      </w:r>
      <w:r>
        <w:rPr>
          <w:rFonts w:hint="eastAsia" w:ascii="宋体" w:hAnsi="宋体" w:eastAsia="宋体" w:cs="宋体"/>
          <w:b w:val="0"/>
          <w:bCs w:val="0"/>
          <w:sz w:val="24"/>
          <w:szCs w:val="24"/>
          <w:highlight w:val="none"/>
          <w:lang w:eastAsia="zh-CN"/>
        </w:rPr>
        <w:t>本办法</w:t>
      </w:r>
      <w:r>
        <w:rPr>
          <w:rFonts w:hint="eastAsia" w:ascii="宋体" w:hAnsi="宋体" w:eastAsia="宋体" w:cs="宋体"/>
          <w:b w:val="0"/>
          <w:bCs w:val="0"/>
          <w:sz w:val="24"/>
          <w:szCs w:val="24"/>
          <w:highlight w:val="none"/>
        </w:rPr>
        <w:t>通过对供应商</w:t>
      </w:r>
      <w:r>
        <w:rPr>
          <w:rFonts w:hint="eastAsia" w:ascii="宋体" w:hAnsi="宋体" w:eastAsia="宋体" w:cs="宋体"/>
          <w:b w:val="0"/>
          <w:bCs w:val="0"/>
          <w:sz w:val="24"/>
          <w:szCs w:val="24"/>
          <w:highlight w:val="none"/>
          <w:lang w:eastAsia="zh-CN"/>
        </w:rPr>
        <w:t>综合能力包括</w:t>
      </w:r>
      <w:r>
        <w:rPr>
          <w:rFonts w:hint="eastAsia" w:ascii="宋体" w:hAnsi="宋体" w:eastAsia="宋体" w:cs="宋体"/>
          <w:b w:val="0"/>
          <w:bCs w:val="0"/>
          <w:sz w:val="24"/>
          <w:szCs w:val="24"/>
          <w:highlight w:val="none"/>
        </w:rPr>
        <w:t>品质保证能力、产品的资质证件、供货情况、服务情况等方面</w:t>
      </w:r>
      <w:r>
        <w:rPr>
          <w:rFonts w:hint="eastAsia" w:ascii="宋体" w:hAnsi="宋体" w:eastAsia="宋体" w:cs="宋体"/>
          <w:b w:val="0"/>
          <w:bCs w:val="0"/>
          <w:sz w:val="24"/>
          <w:szCs w:val="24"/>
          <w:highlight w:val="none"/>
          <w:lang w:eastAsia="zh-CN"/>
        </w:rPr>
        <w:t>进行综合评估。拟</w:t>
      </w:r>
      <w:r>
        <w:rPr>
          <w:rFonts w:hint="eastAsia" w:ascii="宋体" w:hAnsi="宋体" w:eastAsia="宋体" w:cs="宋体"/>
          <w:b w:val="0"/>
          <w:bCs w:val="0"/>
          <w:sz w:val="24"/>
          <w:szCs w:val="24"/>
          <w:highlight w:val="none"/>
        </w:rPr>
        <w:t>每季度对供应商组织一次考核评估，每年度进行综合评估</w:t>
      </w:r>
      <w:r>
        <w:rPr>
          <w:rFonts w:hint="eastAsia" w:ascii="宋体" w:hAnsi="宋体" w:eastAsia="宋体" w:cs="宋体"/>
          <w:b w:val="0"/>
          <w:bCs w:val="0"/>
          <w:sz w:val="24"/>
          <w:szCs w:val="24"/>
          <w:highlight w:val="none"/>
          <w:lang w:eastAsia="zh-CN"/>
        </w:rPr>
        <w:t>；</w:t>
      </w:r>
      <w:r>
        <w:rPr>
          <w:rFonts w:hint="eastAsia" w:ascii="宋体" w:hAnsi="宋体" w:eastAsia="宋体" w:cs="宋体"/>
          <w:b w:val="0"/>
          <w:bCs w:val="0"/>
          <w:sz w:val="24"/>
          <w:szCs w:val="24"/>
          <w:highlight w:val="none"/>
        </w:rPr>
        <w:t>四个季度的平均值作为该供应商的年度考核分值</w:t>
      </w:r>
      <w:r>
        <w:rPr>
          <w:rFonts w:hint="eastAsia" w:ascii="宋体" w:hAnsi="宋体" w:eastAsia="宋体" w:cs="宋体"/>
          <w:b w:val="0"/>
          <w:bCs w:val="0"/>
          <w:sz w:val="24"/>
          <w:szCs w:val="24"/>
          <w:highlight w:val="none"/>
          <w:lang w:eastAsia="zh-CN"/>
        </w:rPr>
        <w:t>。</w:t>
      </w:r>
    </w:p>
    <w:p>
      <w:pPr>
        <w:pStyle w:val="4"/>
        <w:keepNext w:val="0"/>
        <w:keepLines w:val="0"/>
        <w:pageBreakBefore w:val="0"/>
        <w:widowControl w:val="0"/>
        <w:kinsoku/>
        <w:wordWrap/>
        <w:overflowPunct/>
        <w:topLinePunct w:val="0"/>
        <w:autoSpaceDE/>
        <w:autoSpaceDN/>
        <w:bidi w:val="0"/>
        <w:adjustRightInd/>
        <w:snapToGrid/>
        <w:spacing w:line="420" w:lineRule="exact"/>
        <w:jc w:val="left"/>
        <w:textAlignment w:val="auto"/>
        <w:outlineLvl w:val="0"/>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lang w:eastAsia="zh-CN"/>
        </w:rPr>
        <w:t>本办法</w:t>
      </w:r>
      <w:r>
        <w:rPr>
          <w:rFonts w:hint="eastAsia" w:ascii="宋体" w:hAnsi="宋体" w:eastAsia="宋体" w:cs="宋体"/>
          <w:b w:val="0"/>
          <w:bCs w:val="0"/>
          <w:sz w:val="24"/>
          <w:szCs w:val="24"/>
          <w:highlight w:val="none"/>
        </w:rPr>
        <w:t>实行100分制。等级分为优、良、中、差。</w:t>
      </w:r>
      <w:r>
        <w:rPr>
          <w:rFonts w:hint="eastAsia" w:ascii="宋体" w:hAnsi="宋体" w:eastAsia="宋体" w:cs="宋体"/>
          <w:b w:val="0"/>
          <w:bCs w:val="0"/>
          <w:sz w:val="24"/>
          <w:szCs w:val="24"/>
          <w:highlight w:val="none"/>
          <w:lang w:eastAsia="zh-CN"/>
        </w:rPr>
        <w:t>其中</w:t>
      </w:r>
      <w:r>
        <w:rPr>
          <w:rFonts w:hint="eastAsia" w:ascii="宋体" w:hAnsi="宋体" w:eastAsia="宋体" w:cs="宋体"/>
          <w:b w:val="0"/>
          <w:bCs w:val="0"/>
          <w:sz w:val="24"/>
          <w:szCs w:val="24"/>
          <w:highlight w:val="none"/>
        </w:rPr>
        <w:t>100-95分为优(</w:t>
      </w:r>
      <w:r>
        <w:rPr>
          <w:rFonts w:hint="eastAsia" w:ascii="宋体" w:hAnsi="宋体" w:eastAsia="宋体" w:cs="宋体"/>
          <w:b w:val="0"/>
          <w:bCs w:val="0"/>
          <w:sz w:val="24"/>
          <w:szCs w:val="24"/>
          <w:highlight w:val="none"/>
          <w:lang w:eastAsia="zh-CN"/>
        </w:rPr>
        <w:t>可直接</w:t>
      </w:r>
      <w:r>
        <w:rPr>
          <w:rFonts w:hint="eastAsia" w:ascii="宋体" w:hAnsi="宋体" w:eastAsia="宋体" w:cs="宋体"/>
          <w:b w:val="0"/>
          <w:bCs w:val="0"/>
          <w:sz w:val="24"/>
          <w:szCs w:val="24"/>
          <w:highlight w:val="none"/>
        </w:rPr>
        <w:t>续签)，94-90分为良(约谈</w:t>
      </w:r>
      <w:r>
        <w:rPr>
          <w:rFonts w:hint="eastAsia" w:ascii="宋体" w:hAnsi="宋体" w:eastAsia="宋体" w:cs="宋体"/>
          <w:b w:val="0"/>
          <w:bCs w:val="0"/>
          <w:sz w:val="24"/>
          <w:szCs w:val="24"/>
          <w:highlight w:val="none"/>
          <w:lang w:eastAsia="zh-CN"/>
        </w:rPr>
        <w:t>整改</w:t>
      </w:r>
      <w:r>
        <w:rPr>
          <w:rFonts w:hint="eastAsia" w:ascii="宋体" w:hAnsi="宋体" w:eastAsia="宋体" w:cs="宋体"/>
          <w:b w:val="0"/>
          <w:bCs w:val="0"/>
          <w:sz w:val="24"/>
          <w:szCs w:val="24"/>
          <w:highlight w:val="none"/>
        </w:rPr>
        <w:t>后续签)，89-85分为中(经济处罚</w:t>
      </w:r>
      <w:r>
        <w:rPr>
          <w:rFonts w:hint="eastAsia" w:ascii="宋体" w:hAnsi="宋体" w:eastAsia="宋体" w:cs="宋体"/>
          <w:b w:val="0"/>
          <w:bCs w:val="0"/>
          <w:sz w:val="24"/>
          <w:szCs w:val="24"/>
          <w:highlight w:val="none"/>
          <w:lang w:eastAsia="zh-CN"/>
        </w:rPr>
        <w:t>并整改</w:t>
      </w:r>
      <w:r>
        <w:rPr>
          <w:rFonts w:hint="eastAsia" w:ascii="宋体" w:hAnsi="宋体" w:eastAsia="宋体" w:cs="宋体"/>
          <w:b w:val="0"/>
          <w:bCs w:val="0"/>
          <w:sz w:val="24"/>
          <w:szCs w:val="24"/>
          <w:highlight w:val="none"/>
        </w:rPr>
        <w:t>后续签，具体处罚金额合同约定)，85分以下为差(不再续签)。</w:t>
      </w:r>
    </w:p>
    <w:p>
      <w:pPr>
        <w:pStyle w:val="4"/>
        <w:keepNext w:val="0"/>
        <w:keepLines w:val="0"/>
        <w:pageBreakBefore w:val="0"/>
        <w:widowControl w:val="0"/>
        <w:kinsoku/>
        <w:wordWrap/>
        <w:overflowPunct/>
        <w:topLinePunct w:val="0"/>
        <w:autoSpaceDE/>
        <w:autoSpaceDN/>
        <w:bidi w:val="0"/>
        <w:adjustRightInd/>
        <w:snapToGrid/>
        <w:spacing w:line="420" w:lineRule="exact"/>
        <w:jc w:val="left"/>
        <w:textAlignment w:val="auto"/>
        <w:outlineLvl w:val="0"/>
        <w:rPr>
          <w:rFonts w:hint="eastAsia" w:ascii="宋体" w:hAnsi="宋体" w:eastAsia="宋体" w:cs="宋体"/>
          <w:b/>
          <w:bCs/>
          <w:sz w:val="24"/>
          <w:szCs w:val="24"/>
          <w:highlight w:val="none"/>
          <w:lang w:eastAsia="zh-CN"/>
        </w:rPr>
      </w:pPr>
      <w:r>
        <w:rPr>
          <w:rFonts w:hint="eastAsia" w:ascii="宋体" w:hAnsi="宋体" w:eastAsia="宋体" w:cs="宋体"/>
          <w:b/>
          <w:bCs/>
          <w:sz w:val="24"/>
          <w:szCs w:val="24"/>
          <w:highlight w:val="none"/>
        </w:rPr>
        <w:t>考核标准</w:t>
      </w:r>
      <w:r>
        <w:rPr>
          <w:rFonts w:hint="eastAsia" w:ascii="宋体" w:hAnsi="宋体" w:eastAsia="宋体" w:cs="宋体"/>
          <w:b/>
          <w:bCs/>
          <w:sz w:val="24"/>
          <w:szCs w:val="24"/>
          <w:highlight w:val="none"/>
          <w:lang w:eastAsia="zh-CN"/>
        </w:rPr>
        <w:t>：</w:t>
      </w:r>
    </w:p>
    <w:p>
      <w:pPr>
        <w:pStyle w:val="4"/>
        <w:keepNext w:val="0"/>
        <w:keepLines w:val="0"/>
        <w:pageBreakBefore w:val="0"/>
        <w:widowControl w:val="0"/>
        <w:kinsoku/>
        <w:wordWrap/>
        <w:overflowPunct/>
        <w:topLinePunct w:val="0"/>
        <w:autoSpaceDE/>
        <w:autoSpaceDN/>
        <w:bidi w:val="0"/>
        <w:adjustRightInd/>
        <w:snapToGrid/>
        <w:spacing w:line="420" w:lineRule="exact"/>
        <w:jc w:val="left"/>
        <w:textAlignment w:val="auto"/>
        <w:outlineLvl w:val="0"/>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①产品品质保证能力:30分。A.签订供应商服务承诺书、购销廉洁承诺书:B.产品发生质量问题一次扣5分:C.未按照医院要求供货，包括送货单登记不全、票据错误，一次性产品每次供货批次</w:t>
      </w:r>
      <w:r>
        <w:rPr>
          <w:rFonts w:hint="eastAsia" w:ascii="宋体" w:hAnsi="宋体" w:eastAsia="宋体" w:cs="宋体"/>
          <w:b w:val="0"/>
          <w:bCs w:val="0"/>
          <w:sz w:val="24"/>
          <w:szCs w:val="24"/>
          <w:highlight w:val="none"/>
          <w:lang w:eastAsia="zh-CN"/>
        </w:rPr>
        <w:t>超过2个</w:t>
      </w:r>
      <w:r>
        <w:rPr>
          <w:rFonts w:hint="eastAsia" w:ascii="宋体" w:hAnsi="宋体" w:eastAsia="宋体" w:cs="宋体"/>
          <w:b w:val="0"/>
          <w:bCs w:val="0"/>
          <w:sz w:val="24"/>
          <w:szCs w:val="24"/>
          <w:highlight w:val="none"/>
        </w:rPr>
        <w:t>的、一次性产品检验报告未随货同行或提供的批检报告与实物不符或批检报告未加盖供应商的印章等,发生一次扣2分。</w:t>
      </w:r>
    </w:p>
    <w:p>
      <w:pPr>
        <w:pStyle w:val="4"/>
        <w:keepNext w:val="0"/>
        <w:keepLines w:val="0"/>
        <w:pageBreakBefore w:val="0"/>
        <w:widowControl w:val="0"/>
        <w:kinsoku/>
        <w:wordWrap/>
        <w:overflowPunct/>
        <w:topLinePunct w:val="0"/>
        <w:autoSpaceDE/>
        <w:autoSpaceDN/>
        <w:bidi w:val="0"/>
        <w:adjustRightInd/>
        <w:snapToGrid/>
        <w:spacing w:line="420" w:lineRule="exact"/>
        <w:jc w:val="left"/>
        <w:textAlignment w:val="auto"/>
        <w:outlineLvl w:val="0"/>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②产品的资质证件:20分。提供合格的供应商、生产企业以及产品的资质，包括供应商的营业执照、经营许可证、生产厂家有效期内的生产许可证、有效期内的产品注册证(备案文件)等。一项不合格扣5分。</w:t>
      </w:r>
    </w:p>
    <w:p>
      <w:pPr>
        <w:pStyle w:val="4"/>
        <w:keepNext w:val="0"/>
        <w:keepLines w:val="0"/>
        <w:pageBreakBefore w:val="0"/>
        <w:widowControl w:val="0"/>
        <w:kinsoku/>
        <w:wordWrap/>
        <w:overflowPunct/>
        <w:topLinePunct w:val="0"/>
        <w:autoSpaceDE/>
        <w:autoSpaceDN/>
        <w:bidi w:val="0"/>
        <w:adjustRightInd/>
        <w:snapToGrid/>
        <w:spacing w:line="420" w:lineRule="exact"/>
        <w:jc w:val="left"/>
        <w:textAlignment w:val="auto"/>
        <w:outlineLvl w:val="0"/>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③供货情况:30分。A.未按照采购人提出的供货时间送货，发生一次扣2分:B.供应商应按采购人通知的产品名称、规格型号、数量供货，多送、少送均视为未按要求送货，发生一次扣2分。</w:t>
      </w:r>
    </w:p>
    <w:p>
      <w:r>
        <w:rPr>
          <w:rFonts w:hint="eastAsia" w:ascii="宋体" w:hAnsi="宋体" w:eastAsia="宋体" w:cs="宋体"/>
          <w:b w:val="0"/>
          <w:bCs w:val="0"/>
          <w:sz w:val="24"/>
          <w:szCs w:val="24"/>
          <w:highlight w:val="none"/>
        </w:rPr>
        <w:t>④服务情况:20分。A、货到库房验货中，发生问题时，供应商应积极响应。如产品不符合验收标准，需要退货、换货，供应商未按库房要求及时办理的，发生一次扣2分:B、供应商未按采购人的要求开具送货单、票据的，发生一次扣2分;C、所有产品都必须送达库房，并按要求摆放整齐，违反一次扣2 分;D、产品在临床使用过程中出现问题，甚至因使用产品导致可疑医疗器械不良事件、医疗纠纷等，供应商应按医院通知的时间到院处理，若供应商不能积极配合妥善处理的，发生一次扣10-15分。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E4724D"/>
    <w:multiLevelType w:val="singleLevel"/>
    <w:tmpl w:val="9FE4724D"/>
    <w:lvl w:ilvl="0" w:tentative="0">
      <w:start w:val="3"/>
      <w:numFmt w:val="decimal"/>
      <w:suff w:val="nothing"/>
      <w:lvlText w:val="%1、"/>
      <w:lvlJc w:val="left"/>
    </w:lvl>
  </w:abstractNum>
  <w:abstractNum w:abstractNumId="1">
    <w:nsid w:val="AB54DF91"/>
    <w:multiLevelType w:val="singleLevel"/>
    <w:tmpl w:val="AB54DF91"/>
    <w:lvl w:ilvl="0" w:tentative="0">
      <w:start w:val="1"/>
      <w:numFmt w:val="decimal"/>
      <w:suff w:val="nothing"/>
      <w:lvlText w:val="%1、"/>
      <w:lvlJc w:val="left"/>
    </w:lvl>
  </w:abstractNum>
  <w:abstractNum w:abstractNumId="2">
    <w:nsid w:val="C90994CD"/>
    <w:multiLevelType w:val="singleLevel"/>
    <w:tmpl w:val="C90994CD"/>
    <w:lvl w:ilvl="0" w:tentative="0">
      <w:start w:val="1"/>
      <w:numFmt w:val="chineseCounting"/>
      <w:suff w:val="nothing"/>
      <w:lvlText w:val="%1、"/>
      <w:lvlJc w:val="left"/>
      <w:rPr>
        <w:rFonts w:hint="eastAsia"/>
      </w:rPr>
    </w:lvl>
  </w:abstractNum>
  <w:abstractNum w:abstractNumId="3">
    <w:nsid w:val="27B8A6FE"/>
    <w:multiLevelType w:val="singleLevel"/>
    <w:tmpl w:val="27B8A6FE"/>
    <w:lvl w:ilvl="0" w:tentative="0">
      <w:start w:val="4"/>
      <w:numFmt w:val="decimal"/>
      <w:suff w:val="nothing"/>
      <w:lvlText w:val="%1、"/>
      <w:lvlJc w:val="left"/>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VkMTY0NzdhNDdiY2NhOWU0NmZhYWRjMjA2NDg5NTYifQ=="/>
  </w:docVars>
  <w:rsids>
    <w:rsidRoot w:val="00000000"/>
    <w:rsid w:val="3C875B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宋体" w:eastAsia="宋体" w:cs="Times New Roman"/>
      <w:kern w:val="2"/>
      <w:sz w:val="32"/>
      <w:szCs w:val="32"/>
      <w:lang w:val="en-US" w:eastAsia="zh-CN" w:bidi="ar-SA"/>
    </w:rPr>
  </w:style>
  <w:style w:type="character" w:default="1" w:styleId="6">
    <w:name w:val="Default Paragraph Font"/>
    <w:semiHidden/>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Body Text"/>
    <w:basedOn w:val="1"/>
    <w:next w:val="3"/>
    <w:qFormat/>
    <w:uiPriority w:val="1"/>
    <w:pPr>
      <w:spacing w:after="120"/>
    </w:pPr>
    <w:rPr>
      <w:rFonts w:ascii="Times New Roman" w:hAnsi="Times New Roman"/>
      <w:sz w:val="21"/>
      <w:szCs w:val="24"/>
    </w:rPr>
  </w:style>
  <w:style w:type="paragraph" w:styleId="3">
    <w:name w:val="Subtitle"/>
    <w:basedOn w:val="1"/>
    <w:next w:val="1"/>
    <w:qFormat/>
    <w:uiPriority w:val="0"/>
    <w:pPr>
      <w:spacing w:before="240" w:after="60" w:line="312" w:lineRule="auto"/>
      <w:jc w:val="center"/>
      <w:outlineLvl w:val="1"/>
    </w:pPr>
    <w:rPr>
      <w:rFonts w:ascii="Cambria" w:hAnsi="Cambria" w:eastAsia="Times New Roman"/>
      <w:b/>
      <w:bCs/>
      <w:kern w:val="28"/>
      <w:sz w:val="32"/>
      <w:szCs w:val="32"/>
    </w:rPr>
  </w:style>
  <w:style w:type="paragraph" w:styleId="4">
    <w:name w:val="Title"/>
    <w:basedOn w:val="1"/>
    <w:next w:val="1"/>
    <w:qFormat/>
    <w:uiPriority w:val="0"/>
    <w:pPr>
      <w:spacing w:before="240" w:after="60"/>
      <w:jc w:val="center"/>
      <w:outlineLvl w:val="0"/>
    </w:pPr>
    <w:rPr>
      <w:rFonts w:ascii="Cambria" w:hAnsi="Cambria"/>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2024-04-08T07:22:20Z</dcterms:created>
  <dc:creator>Administrator</dc:creator>
  <cp:lastModifiedBy>木槿何溪°°</cp:lastModifiedBy>
  <dcterms:modified xsi:type="dcterms:W3CDTF">2024-04-08T07:23:01Z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F94398280F334916AFB6087E2B97C0E6_12</vt:lpwstr>
  </property>
</Properties>
</file>